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ind w:firstLine="0" w:firstLineChars="0"/>
        <w:rPr>
          <w:rFonts w:ascii="方正黑体简体" w:hAnsi="方正黑体简体" w:eastAsia="方正黑体简体" w:cs="方正黑体简体"/>
          <w:sz w:val="32"/>
          <w:szCs w:val="32"/>
          <w:lang w:eastAsia="zh-Hans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eastAsia="zh-Hans"/>
        </w:rPr>
        <w:t>检查合格标准0</w:t>
      </w:r>
      <w:r>
        <w:rPr>
          <w:rFonts w:ascii="方正黑体简体" w:hAnsi="方正黑体简体" w:eastAsia="方正黑体简体" w:cs="方正黑体简体"/>
          <w:sz w:val="32"/>
          <w:szCs w:val="32"/>
          <w:lang w:eastAsia="zh-Hans"/>
        </w:rPr>
        <w:t>09</w:t>
      </w:r>
      <w:r>
        <w:rPr>
          <w:rFonts w:hint="eastAsia" w:ascii="方正黑体简体" w:hAnsi="方正黑体简体" w:eastAsia="方正黑体简体" w:cs="方正黑体简体"/>
          <w:sz w:val="32"/>
          <w:szCs w:val="32"/>
          <w:lang w:eastAsia="zh-Hans"/>
        </w:rPr>
        <w:t>:</w:t>
      </w:r>
    </w:p>
    <w:p>
      <w:pPr>
        <w:ind w:firstLine="0" w:firstLineChars="0"/>
        <w:rPr>
          <w:sz w:val="32"/>
          <w:szCs w:val="32"/>
          <w:lang w:eastAsia="zh-Hans"/>
        </w:rPr>
      </w:pPr>
    </w:p>
    <w:p>
      <w:pPr>
        <w:ind w:firstLine="640"/>
        <w:rPr>
          <w:sz w:val="32"/>
          <w:szCs w:val="32"/>
          <w:lang w:eastAsia="zh-Hans"/>
        </w:rPr>
      </w:pPr>
      <w:r>
        <w:rPr>
          <w:sz w:val="32"/>
          <w:szCs w:val="32"/>
          <w:lang w:eastAsia="zh-Hans"/>
        </w:rPr>
        <w:t>1</w:t>
      </w:r>
      <w:r>
        <w:rPr>
          <w:rFonts w:hint="eastAsia"/>
          <w:sz w:val="32"/>
          <w:szCs w:val="32"/>
        </w:rPr>
        <w:t>.</w:t>
      </w:r>
      <w:r>
        <w:rPr>
          <w:sz w:val="32"/>
          <w:szCs w:val="32"/>
          <w:lang w:eastAsia="zh-Hans"/>
        </w:rPr>
        <w:t>商业保理公司</w:t>
      </w:r>
      <w:r>
        <w:rPr>
          <w:rFonts w:hint="eastAsia"/>
          <w:sz w:val="32"/>
          <w:szCs w:val="32"/>
          <w:lang w:eastAsia="zh-Hans"/>
        </w:rPr>
        <w:t>已向金融消费者提示风险</w:t>
      </w:r>
      <w:r>
        <w:rPr>
          <w:sz w:val="32"/>
          <w:szCs w:val="32"/>
          <w:lang w:eastAsia="zh-Hans"/>
        </w:rPr>
        <w:t>（</w:t>
      </w:r>
      <w:r>
        <w:rPr>
          <w:rFonts w:hint="eastAsia"/>
          <w:sz w:val="32"/>
          <w:szCs w:val="32"/>
          <w:lang w:eastAsia="zh-Hans"/>
        </w:rPr>
        <w:t>现场查验公司提供的相关材料</w:t>
      </w:r>
      <w:r>
        <w:rPr>
          <w:sz w:val="32"/>
          <w:szCs w:val="32"/>
          <w:lang w:eastAsia="zh-Hans"/>
        </w:rPr>
        <w:t>、</w:t>
      </w:r>
      <w:r>
        <w:rPr>
          <w:rFonts w:hint="eastAsia"/>
          <w:sz w:val="32"/>
          <w:szCs w:val="32"/>
          <w:lang w:eastAsia="zh-Hans"/>
        </w:rPr>
        <w:t>抽查业务资料核实</w:t>
      </w:r>
      <w:r>
        <w:rPr>
          <w:sz w:val="32"/>
          <w:szCs w:val="32"/>
          <w:lang w:eastAsia="zh-Hans"/>
        </w:rPr>
        <w:t>）；</w:t>
      </w:r>
    </w:p>
    <w:p>
      <w:pPr>
        <w:ind w:firstLine="640"/>
        <w:rPr>
          <w:sz w:val="32"/>
          <w:szCs w:val="32"/>
        </w:rPr>
      </w:pPr>
      <w:r>
        <w:rPr>
          <w:sz w:val="32"/>
          <w:szCs w:val="32"/>
          <w:lang w:eastAsia="zh-Hans"/>
        </w:rPr>
        <w:t>2</w:t>
      </w:r>
      <w:r>
        <w:rPr>
          <w:rFonts w:hint="eastAsia"/>
          <w:sz w:val="32"/>
          <w:szCs w:val="32"/>
        </w:rPr>
        <w:t>.</w:t>
      </w:r>
      <w:r>
        <w:rPr>
          <w:sz w:val="32"/>
          <w:szCs w:val="32"/>
          <w:lang w:eastAsia="zh-Hans"/>
        </w:rPr>
        <w:t>商业保理公司</w:t>
      </w:r>
      <w:r>
        <w:rPr>
          <w:rFonts w:hint="eastAsia"/>
          <w:sz w:val="32"/>
          <w:szCs w:val="32"/>
          <w:lang w:eastAsia="zh-Hans"/>
        </w:rPr>
        <w:t>已向消费者释明相关</w:t>
      </w:r>
      <w:r>
        <w:rPr>
          <w:sz w:val="32"/>
          <w:szCs w:val="32"/>
          <w:lang w:eastAsia="zh-Hans"/>
        </w:rPr>
        <w:t>商业保理</w:t>
      </w:r>
      <w:r>
        <w:rPr>
          <w:rFonts w:hint="eastAsia"/>
          <w:sz w:val="32"/>
          <w:szCs w:val="32"/>
          <w:lang w:eastAsia="zh-Hans"/>
        </w:rPr>
        <w:t>业务性质</w:t>
      </w:r>
      <w:r>
        <w:rPr>
          <w:sz w:val="32"/>
          <w:szCs w:val="32"/>
          <w:lang w:eastAsia="zh-Hans"/>
        </w:rPr>
        <w:t>，</w:t>
      </w:r>
      <w:r>
        <w:rPr>
          <w:rFonts w:hint="eastAsia"/>
          <w:sz w:val="32"/>
          <w:szCs w:val="32"/>
          <w:lang w:eastAsia="zh-Hans"/>
        </w:rPr>
        <w:t>保障消费者知情权</w:t>
      </w:r>
      <w:r>
        <w:rPr>
          <w:sz w:val="32"/>
          <w:szCs w:val="32"/>
          <w:lang w:eastAsia="zh-Hans"/>
        </w:rPr>
        <w:t>（</w:t>
      </w:r>
      <w:r>
        <w:rPr>
          <w:rFonts w:hint="eastAsia"/>
          <w:sz w:val="32"/>
          <w:szCs w:val="32"/>
          <w:lang w:eastAsia="zh-Hans"/>
        </w:rPr>
        <w:t>现场查验公司提供的相关材料</w:t>
      </w:r>
      <w:r>
        <w:rPr>
          <w:sz w:val="32"/>
          <w:szCs w:val="32"/>
          <w:lang w:eastAsia="zh-Hans"/>
        </w:rPr>
        <w:t>、</w:t>
      </w:r>
      <w:r>
        <w:rPr>
          <w:rFonts w:hint="eastAsia"/>
          <w:sz w:val="32"/>
          <w:szCs w:val="32"/>
          <w:lang w:eastAsia="zh-Hans"/>
        </w:rPr>
        <w:t>抽查业务资料核实</w:t>
      </w:r>
      <w:r>
        <w:rPr>
          <w:sz w:val="32"/>
          <w:szCs w:val="32"/>
          <w:lang w:eastAsia="zh-Hans"/>
        </w:rPr>
        <w:t>）。</w:t>
      </w:r>
    </w:p>
    <w:p>
      <w:pPr>
        <w:ind w:firstLine="640"/>
        <w:rPr>
          <w:sz w:val="32"/>
          <w:szCs w:val="32"/>
          <w:lang w:eastAsia="zh-Hans"/>
        </w:rPr>
      </w:pPr>
    </w:p>
    <w:p>
      <w:pPr>
        <w:ind w:firstLine="0" w:firstLineChars="0"/>
        <w:rPr>
          <w:sz w:val="32"/>
          <w:szCs w:val="32"/>
          <w:lang w:eastAsia="zh-Hans"/>
        </w:rPr>
      </w:pPr>
    </w:p>
    <w:p>
      <w:pPr>
        <w:ind w:firstLine="640"/>
        <w:rPr>
          <w:sz w:val="32"/>
          <w:szCs w:val="32"/>
          <w:lang w:eastAsia="zh-Hans"/>
        </w:rPr>
      </w:pPr>
      <w:r>
        <w:rPr>
          <w:rFonts w:hint="eastAsia"/>
          <w:sz w:val="32"/>
          <w:szCs w:val="32"/>
          <w:lang w:eastAsia="zh-Hans"/>
        </w:rPr>
        <w:t>检查发现商业保理公司未依法保障金融消费者知情、自主选择等权益的</w:t>
      </w:r>
      <w:r>
        <w:rPr>
          <w:sz w:val="32"/>
          <w:szCs w:val="32"/>
          <w:lang w:eastAsia="zh-Hans"/>
        </w:rPr>
        <w:t>，</w:t>
      </w:r>
      <w:r>
        <w:rPr>
          <w:rFonts w:hint="eastAsia"/>
          <w:sz w:val="32"/>
          <w:szCs w:val="32"/>
          <w:lang w:eastAsia="zh-Hans"/>
        </w:rPr>
        <w:t>该项检查结果为“否”</w:t>
      </w:r>
      <w:r>
        <w:rPr>
          <w:sz w:val="32"/>
          <w:szCs w:val="32"/>
          <w:lang w:eastAsia="zh-Hans"/>
        </w:rPr>
        <w:t>，</w:t>
      </w:r>
      <w:r>
        <w:rPr>
          <w:rFonts w:hint="eastAsia"/>
          <w:sz w:val="32"/>
          <w:szCs w:val="32"/>
          <w:lang w:eastAsia="zh-Hans"/>
        </w:rPr>
        <w:t>应当责令其</w:t>
      </w:r>
      <w:r>
        <w:rPr>
          <w:rFonts w:hint="eastAsia"/>
          <w:sz w:val="32"/>
          <w:szCs w:val="32"/>
          <w:lang w:val="en-US" w:eastAsia="zh-CN"/>
        </w:rPr>
        <w:t>2</w:t>
      </w:r>
      <w:r>
        <w:rPr>
          <w:rFonts w:hint="eastAsia"/>
          <w:sz w:val="32"/>
          <w:szCs w:val="32"/>
          <w:lang w:eastAsia="zh-Hans"/>
        </w:rPr>
        <w:t>个月内完成整改并提交整改报告</w:t>
      </w:r>
      <w:r>
        <w:rPr>
          <w:sz w:val="32"/>
          <w:szCs w:val="32"/>
          <w:lang w:eastAsia="zh-Hans"/>
        </w:rPr>
        <w:t>，</w:t>
      </w:r>
      <w:r>
        <w:rPr>
          <w:rFonts w:hint="eastAsia"/>
          <w:sz w:val="32"/>
          <w:szCs w:val="32"/>
          <w:lang w:eastAsia="zh-Hans"/>
        </w:rPr>
        <w:t>并按照相关法律法规规定予以处理</w:t>
      </w:r>
      <w:r>
        <w:rPr>
          <w:sz w:val="32"/>
          <w:szCs w:val="32"/>
          <w:lang w:eastAsia="zh-Hans"/>
        </w:rPr>
        <w:t>。</w:t>
      </w:r>
      <w:bookmarkStart w:id="0" w:name="_GoBack"/>
      <w:bookmarkEnd w:id="0"/>
    </w:p>
    <w:p>
      <w:pPr>
        <w:ind w:firstLine="640"/>
        <w:rPr>
          <w:sz w:val="32"/>
          <w:szCs w:val="32"/>
          <w:lang w:eastAsia="zh-Hans"/>
        </w:rPr>
      </w:pPr>
    </w:p>
    <w:p>
      <w:pPr>
        <w:ind w:firstLine="640" w:firstLineChars="0"/>
        <w:rPr>
          <w:sz w:val="32"/>
          <w:szCs w:val="32"/>
          <w:lang w:eastAsia="zh-Hans"/>
        </w:rPr>
      </w:pPr>
    </w:p>
    <w:p>
      <w:pPr>
        <w:ind w:firstLine="0" w:firstLineChars="0"/>
        <w:rPr>
          <w:lang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altName w:val="Times New Roman"/>
    <w:panose1 w:val="00000000000000000000"/>
    <w:charset w:val="00"/>
    <w:family w:val="roman"/>
    <w:pitch w:val="default"/>
    <w:sig w:usb0="00000000" w:usb1="00000000" w:usb2="00000008" w:usb3="00000000" w:csb0="000001FF" w:csb1="00000000"/>
  </w:font>
  <w:font w:name="Heiti SC Light">
    <w:altName w:val="Malgun Gothic Semilight"/>
    <w:panose1 w:val="00000000000000000000"/>
    <w:charset w:val="80"/>
    <w:family w:val="auto"/>
    <w:pitch w:val="default"/>
    <w:sig w:usb0="00000000" w:usb1="00000000" w:usb2="00000000" w:usb3="00000000" w:csb0="203E0000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方正黑体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F9EEF"/>
    <w:rsid w:val="003A69E1"/>
    <w:rsid w:val="009D0DE5"/>
    <w:rsid w:val="2CBF88E7"/>
    <w:rsid w:val="2F9FC839"/>
    <w:rsid w:val="319AEF43"/>
    <w:rsid w:val="337EDFBE"/>
    <w:rsid w:val="36D9B063"/>
    <w:rsid w:val="37EE9943"/>
    <w:rsid w:val="37F3C6AB"/>
    <w:rsid w:val="3F9D2750"/>
    <w:rsid w:val="3FAF54A1"/>
    <w:rsid w:val="3FBE1D47"/>
    <w:rsid w:val="3FBFF4C2"/>
    <w:rsid w:val="3FF9CA76"/>
    <w:rsid w:val="4E8C19F9"/>
    <w:rsid w:val="5A901520"/>
    <w:rsid w:val="5CFD5355"/>
    <w:rsid w:val="5DAD6CAF"/>
    <w:rsid w:val="5F7DCF59"/>
    <w:rsid w:val="5FB6FD0B"/>
    <w:rsid w:val="5FBBCA18"/>
    <w:rsid w:val="5FFE6F22"/>
    <w:rsid w:val="67BF029A"/>
    <w:rsid w:val="6DF74C5C"/>
    <w:rsid w:val="6EB78CAE"/>
    <w:rsid w:val="6FFF619B"/>
    <w:rsid w:val="71FE2F25"/>
    <w:rsid w:val="727E194A"/>
    <w:rsid w:val="776F9EEF"/>
    <w:rsid w:val="77DB2B79"/>
    <w:rsid w:val="77DF1D0D"/>
    <w:rsid w:val="79FD7A8B"/>
    <w:rsid w:val="7AFFC69C"/>
    <w:rsid w:val="7BAEA061"/>
    <w:rsid w:val="7BF7A186"/>
    <w:rsid w:val="7D670B59"/>
    <w:rsid w:val="7FBD6441"/>
    <w:rsid w:val="7FEF15CD"/>
    <w:rsid w:val="7FFF8554"/>
    <w:rsid w:val="92FAF28F"/>
    <w:rsid w:val="ACFF3AA7"/>
    <w:rsid w:val="AFFB3957"/>
    <w:rsid w:val="AFFEA575"/>
    <w:rsid w:val="B1CD7228"/>
    <w:rsid w:val="B4FF8A02"/>
    <w:rsid w:val="B7F56B12"/>
    <w:rsid w:val="BB7B4A91"/>
    <w:rsid w:val="BBFFA552"/>
    <w:rsid w:val="BF675CD5"/>
    <w:rsid w:val="BF7ED3A7"/>
    <w:rsid w:val="BFDEB4FA"/>
    <w:rsid w:val="C29F17C2"/>
    <w:rsid w:val="CB3B0CB3"/>
    <w:rsid w:val="CEA6CA88"/>
    <w:rsid w:val="CFEDAE28"/>
    <w:rsid w:val="D2BFE6AD"/>
    <w:rsid w:val="D7FD1441"/>
    <w:rsid w:val="DAFE1D07"/>
    <w:rsid w:val="DEDFEC9F"/>
    <w:rsid w:val="DF3FB424"/>
    <w:rsid w:val="DF591126"/>
    <w:rsid w:val="E9FFDEFD"/>
    <w:rsid w:val="EB774F38"/>
    <w:rsid w:val="EDF92240"/>
    <w:rsid w:val="F0AD54E5"/>
    <w:rsid w:val="F5FF19DC"/>
    <w:rsid w:val="F7FEA782"/>
    <w:rsid w:val="FAAD7E9A"/>
    <w:rsid w:val="FBF9E980"/>
    <w:rsid w:val="FDB22C36"/>
    <w:rsid w:val="FE5FDDD0"/>
    <w:rsid w:val="FEF76EC2"/>
    <w:rsid w:val="FFF3A218"/>
    <w:rsid w:val="FFFB0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ind w:firstLine="643" w:firstLineChars="200"/>
    </w:pPr>
    <w:rPr>
      <w:rFonts w:ascii="Times New Roman" w:hAnsi="Times New Roman" w:eastAsia="仿宋_GB2312" w:cs="Times New Roman"/>
      <w:sz w:val="28"/>
      <w:szCs w:val="24"/>
      <w:lang w:val="en-US" w:eastAsia="zh-CN" w:bidi="ar-SA"/>
    </w:rPr>
  </w:style>
  <w:style w:type="paragraph" w:styleId="2">
    <w:name w:val="heading 1"/>
    <w:basedOn w:val="3"/>
    <w:next w:val="4"/>
    <w:link w:val="10"/>
    <w:qFormat/>
    <w:uiPriority w:val="0"/>
    <w:pPr>
      <w:keepNext/>
      <w:keepLines/>
      <w:jc w:val="center"/>
      <w:outlineLvl w:val="0"/>
    </w:pPr>
    <w:rPr>
      <w:rFonts w:eastAsiaTheme="majorEastAsia"/>
      <w:b/>
      <w:kern w:val="44"/>
      <w:sz w:val="32"/>
      <w:szCs w:val="44"/>
    </w:rPr>
  </w:style>
  <w:style w:type="paragraph" w:styleId="5">
    <w:name w:val="heading 2"/>
    <w:basedOn w:val="6"/>
    <w:next w:val="6"/>
    <w:link w:val="11"/>
    <w:unhideWhenUsed/>
    <w:qFormat/>
    <w:uiPriority w:val="0"/>
    <w:pPr>
      <w:jc w:val="center"/>
      <w:outlineLvl w:val="1"/>
    </w:pPr>
    <w:rPr>
      <w:rFonts w:ascii="宋体" w:hAnsi="宋体" w:eastAsia="宋体"/>
      <w:b/>
      <w:bCs/>
      <w:sz w:val="30"/>
      <w:szCs w:val="36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qFormat/>
    <w:uiPriority w:val="0"/>
    <w:pPr>
      <w:ind w:left="420" w:leftChars="200"/>
    </w:pPr>
  </w:style>
  <w:style w:type="paragraph" w:styleId="4">
    <w:name w:val="toa heading"/>
    <w:basedOn w:val="1"/>
    <w:next w:val="1"/>
    <w:qFormat/>
    <w:uiPriority w:val="0"/>
    <w:pPr>
      <w:spacing w:before="120"/>
    </w:pPr>
    <w:rPr>
      <w:rFonts w:ascii="DejaVu Sans" w:hAnsi="DejaVu Sans"/>
      <w:sz w:val="24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DejaVu Sans" w:hAnsi="DejaVu Sans"/>
      <w:sz w:val="24"/>
    </w:rPr>
  </w:style>
  <w:style w:type="paragraph" w:styleId="7">
    <w:name w:val="toc 2"/>
    <w:basedOn w:val="1"/>
    <w:next w:val="1"/>
    <w:qFormat/>
    <w:uiPriority w:val="0"/>
    <w:pPr>
      <w:ind w:left="420" w:leftChars="200"/>
    </w:pPr>
    <w:rPr>
      <w:rFonts w:eastAsia="宋体"/>
      <w:b/>
      <w:kern w:val="2"/>
      <w:sz w:val="24"/>
    </w:rPr>
  </w:style>
  <w:style w:type="character" w:customStyle="1" w:styleId="10">
    <w:name w:val="标题 1 Char"/>
    <w:basedOn w:val="9"/>
    <w:link w:val="2"/>
    <w:qFormat/>
    <w:uiPriority w:val="0"/>
    <w:rPr>
      <w:rFonts w:ascii="Heiti SC Light" w:hAnsi="Heiti SC Light" w:eastAsia="宋体"/>
      <w:b/>
      <w:bCs/>
      <w:kern w:val="44"/>
      <w:sz w:val="32"/>
      <w:szCs w:val="44"/>
    </w:rPr>
  </w:style>
  <w:style w:type="character" w:customStyle="1" w:styleId="11">
    <w:name w:val="标题 2 Char"/>
    <w:basedOn w:val="9"/>
    <w:link w:val="5"/>
    <w:qFormat/>
    <w:uiPriority w:val="9"/>
    <w:rPr>
      <w:rFonts w:ascii="宋体" w:hAnsi="宋体" w:eastAsia="宋体"/>
      <w:b/>
      <w:bCs/>
      <w:sz w:val="30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30</Words>
  <Characters>173</Characters>
  <Lines>1</Lines>
  <Paragraphs>1</Paragraphs>
  <TotalTime>0</TotalTime>
  <ScaleCrop>false</ScaleCrop>
  <LinksUpToDate>false</LinksUpToDate>
  <CharactersWithSpaces>202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2022-01-02T17:58:00Z</dcterms:created>
  <dc:creator>张嘉嘉律师</dc:creator>
  <cp:lastModifiedBy>可可</cp:lastModifiedBy>
  <dcterms:modified xsi:type="dcterms:W3CDTF">2022-01-24T08:31:57Z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180825E993FA4ECFBCF9DA8F94322E3D</vt:lpwstr>
  </property>
</Properties>
</file>