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firstLine="0" w:firstLineChars="0"/>
        <w:rPr>
          <w:rFonts w:ascii="方正黑体简体" w:hAnsi="方正黑体简体" w:eastAsia="方正黑体简体" w:cs="方正黑体简体"/>
          <w:sz w:val="32"/>
          <w:szCs w:val="32"/>
          <w:lang w:eastAsia="zh-Hans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eastAsia="zh-Hans"/>
        </w:rPr>
        <w:t>检查合格标准01</w:t>
      </w:r>
      <w:r>
        <w:rPr>
          <w:rFonts w:ascii="方正黑体简体" w:hAnsi="方正黑体简体" w:eastAsia="方正黑体简体" w:cs="方正黑体简体"/>
          <w:sz w:val="32"/>
          <w:szCs w:val="32"/>
          <w:lang w:eastAsia="zh-Hans"/>
        </w:rPr>
        <w:t>1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eastAsia="zh-Hans"/>
        </w:rPr>
        <w:t>:</w:t>
      </w:r>
    </w:p>
    <w:p>
      <w:pPr>
        <w:ind w:firstLine="0" w:firstLineChars="0"/>
        <w:rPr>
          <w:rFonts w:ascii="方正黑体简体" w:hAnsi="方正黑体简体" w:eastAsia="方正黑体简体" w:cs="方正黑体简体"/>
          <w:sz w:val="32"/>
          <w:szCs w:val="32"/>
          <w:lang w:eastAsia="zh-Hans"/>
        </w:rPr>
      </w:pPr>
    </w:p>
    <w:p>
      <w:pPr>
        <w:ind w:firstLine="640"/>
        <w:jc w:val="both"/>
        <w:rPr>
          <w:sz w:val="32"/>
          <w:szCs w:val="32"/>
        </w:rPr>
      </w:pPr>
      <w:r>
        <w:rPr>
          <w:rFonts w:hint="eastAsia"/>
          <w:sz w:val="32"/>
          <w:szCs w:val="32"/>
        </w:rPr>
        <w:t>一、商业保理公司</w:t>
      </w:r>
      <w:r>
        <w:rPr>
          <w:rFonts w:hint="eastAsia" w:ascii="仿宋_GB2312" w:hAnsi="仿宋_GB2312" w:cs="仿宋_GB2312"/>
          <w:sz w:val="32"/>
          <w:szCs w:val="32"/>
          <w:lang w:eastAsia="zh-Hans"/>
        </w:rPr>
        <w:t>符合</w:t>
      </w:r>
      <w:r>
        <w:rPr>
          <w:rFonts w:hint="eastAsia" w:ascii="仿宋_GB2312" w:hAnsi="仿宋_GB2312" w:cs="仿宋_GB2312"/>
          <w:sz w:val="32"/>
          <w:szCs w:val="32"/>
        </w:rPr>
        <w:t>以下监管指标</w:t>
      </w:r>
      <w:r>
        <w:rPr>
          <w:sz w:val="32"/>
          <w:szCs w:val="32"/>
        </w:rPr>
        <w:t>（</w:t>
      </w:r>
      <w:r>
        <w:rPr>
          <w:rFonts w:hint="eastAsia"/>
          <w:sz w:val="32"/>
          <w:szCs w:val="32"/>
          <w:lang w:eastAsia="zh-Hans"/>
        </w:rPr>
        <w:t>现场查验公司提供的相关资料</w:t>
      </w:r>
      <w:r>
        <w:rPr>
          <w:sz w:val="32"/>
          <w:szCs w:val="32"/>
        </w:rPr>
        <w:t>）</w:t>
      </w:r>
      <w:r>
        <w:rPr>
          <w:rFonts w:hint="eastAsia" w:ascii="仿宋_GB2312" w:hAnsi="仿宋_GB2312" w:cs="仿宋_GB2312"/>
          <w:sz w:val="32"/>
          <w:szCs w:val="32"/>
        </w:rPr>
        <w:t>：</w:t>
      </w:r>
    </w:p>
    <w:p>
      <w:pPr>
        <w:ind w:firstLine="560"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1.受让同一债务人的应收账款，不得超过风险资产总额的50%；</w:t>
      </w:r>
    </w:p>
    <w:p>
      <w:pPr>
        <w:ind w:firstLine="560"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2.受让以其关联企业为债务人的应收账款，不得超过风险资产总额的40%；</w:t>
      </w:r>
    </w:p>
    <w:p>
      <w:pPr>
        <w:ind w:firstLine="560"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3.将逾期90天未收回或未实现的保理融资款纳入不良资产管理；</w:t>
      </w:r>
    </w:p>
    <w:p>
      <w:pPr>
        <w:ind w:firstLine="560"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4.计提的风险准备金，不得低于融资保理业务期末余额的1%；</w:t>
      </w:r>
    </w:p>
    <w:p>
      <w:pPr>
        <w:ind w:firstLine="560"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5.风险资产不得超过净资产的10倍。</w:t>
      </w:r>
    </w:p>
    <w:p>
      <w:pPr>
        <w:ind w:firstLine="640"/>
        <w:jc w:val="both"/>
        <w:rPr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二、商业保理公司符合金融管理部门的其他监管要求。</w:t>
      </w:r>
    </w:p>
    <w:p>
      <w:pPr>
        <w:ind w:firstLine="640"/>
        <w:rPr>
          <w:sz w:val="32"/>
          <w:szCs w:val="32"/>
        </w:rPr>
      </w:pPr>
    </w:p>
    <w:p>
      <w:pPr>
        <w:ind w:firstLine="640"/>
        <w:rPr>
          <w:sz w:val="32"/>
          <w:szCs w:val="32"/>
          <w:lang w:eastAsia="zh-Hans"/>
        </w:rPr>
      </w:pPr>
      <w:r>
        <w:rPr>
          <w:rFonts w:hint="eastAsia"/>
          <w:sz w:val="32"/>
          <w:szCs w:val="32"/>
          <w:lang w:eastAsia="zh-Hans"/>
        </w:rPr>
        <w:t>检查发现商业保理</w:t>
      </w:r>
      <w:r>
        <w:rPr>
          <w:rFonts w:hint="eastAsia"/>
          <w:sz w:val="32"/>
          <w:szCs w:val="32"/>
        </w:rPr>
        <w:t>公司</w:t>
      </w:r>
      <w:r>
        <w:rPr>
          <w:rFonts w:hint="eastAsia" w:ascii="仿宋_GB2312" w:hAnsi="仿宋_GB2312" w:cs="仿宋_GB2312"/>
          <w:sz w:val="32"/>
          <w:szCs w:val="32"/>
        </w:rPr>
        <w:t>不符合</w:t>
      </w:r>
      <w:r>
        <w:rPr>
          <w:rFonts w:hint="eastAsia" w:ascii="仿宋_GB2312" w:hAnsi="仿宋_GB2312" w:cs="仿宋_GB2312"/>
          <w:sz w:val="32"/>
          <w:szCs w:val="32"/>
          <w:lang w:eastAsia="zh-Hans"/>
        </w:rPr>
        <w:t>以上监管要求的</w:t>
      </w:r>
      <w:r>
        <w:rPr>
          <w:sz w:val="32"/>
          <w:szCs w:val="32"/>
          <w:lang w:eastAsia="zh-Hans"/>
        </w:rPr>
        <w:t>，</w:t>
      </w:r>
      <w:r>
        <w:rPr>
          <w:rFonts w:hint="eastAsia"/>
          <w:sz w:val="32"/>
          <w:szCs w:val="32"/>
          <w:lang w:eastAsia="zh-Hans"/>
        </w:rPr>
        <w:t>该项检查结果为“否”</w:t>
      </w:r>
      <w:r>
        <w:rPr>
          <w:sz w:val="32"/>
          <w:szCs w:val="32"/>
          <w:lang w:eastAsia="zh-Hans"/>
        </w:rPr>
        <w:t>，应当责令</w:t>
      </w:r>
      <w:r>
        <w:rPr>
          <w:rFonts w:hint="eastAsia"/>
          <w:sz w:val="32"/>
          <w:szCs w:val="32"/>
          <w:lang w:eastAsia="zh-Hans"/>
        </w:rPr>
        <w:t>其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sz w:val="32"/>
          <w:szCs w:val="32"/>
          <w:lang w:eastAsia="zh-Hans"/>
        </w:rPr>
        <w:t>个月内完成整改并提交整改报告，</w:t>
      </w:r>
      <w:r>
        <w:rPr>
          <w:rFonts w:hint="eastAsia"/>
          <w:sz w:val="32"/>
          <w:szCs w:val="32"/>
          <w:lang w:eastAsia="zh-Hans"/>
        </w:rPr>
        <w:t>逾期不改正的</w:t>
      </w:r>
      <w:r>
        <w:rPr>
          <w:sz w:val="32"/>
          <w:szCs w:val="32"/>
          <w:lang w:eastAsia="zh-Hans"/>
        </w:rPr>
        <w:t>，按照相关法律法规规定予以处理。</w:t>
      </w:r>
      <w:bookmarkStart w:id="0" w:name="_GoBack"/>
      <w:bookmarkEnd w:id="0"/>
    </w:p>
    <w:p>
      <w:pPr>
        <w:ind w:firstLine="560"/>
      </w:pPr>
    </w:p>
    <w:p>
      <w:pPr>
        <w:ind w:firstLine="640"/>
        <w:rPr>
          <w:sz w:val="32"/>
          <w:szCs w:val="32"/>
          <w:lang w:eastAsia="zh-Hans"/>
        </w:rPr>
      </w:pPr>
    </w:p>
    <w:p>
      <w:pPr>
        <w:ind w:firstLine="640"/>
        <w:rPr>
          <w:sz w:val="32"/>
          <w:szCs w:val="32"/>
        </w:rPr>
      </w:pPr>
    </w:p>
    <w:p>
      <w:pPr>
        <w:ind w:firstLine="560"/>
        <w:rPr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altName w:val="Times New Roman"/>
    <w:panose1 w:val="00000000000000000000"/>
    <w:charset w:val="00"/>
    <w:family w:val="roman"/>
    <w:pitch w:val="default"/>
    <w:sig w:usb0="00000000" w:usb1="00000000" w:usb2="00000008" w:usb3="00000000" w:csb0="000001FF" w:csb1="00000000"/>
  </w:font>
  <w:font w:name="Heiti SC Light">
    <w:altName w:val="Malgun Gothic Semilight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06218E3"/>
    <w:rsid w:val="00DD3C09"/>
    <w:rsid w:val="00E06441"/>
    <w:rsid w:val="19FD3EF8"/>
    <w:rsid w:val="283F2C91"/>
    <w:rsid w:val="2F7F5597"/>
    <w:rsid w:val="337EDFBE"/>
    <w:rsid w:val="36FE10BD"/>
    <w:rsid w:val="37EE9943"/>
    <w:rsid w:val="3F99AF56"/>
    <w:rsid w:val="3FAF54A1"/>
    <w:rsid w:val="3FBE1D47"/>
    <w:rsid w:val="3FBFF4C2"/>
    <w:rsid w:val="3FF9CA76"/>
    <w:rsid w:val="4E8C19F9"/>
    <w:rsid w:val="56FA3F24"/>
    <w:rsid w:val="570E4E74"/>
    <w:rsid w:val="5CFD5355"/>
    <w:rsid w:val="5D7E24C6"/>
    <w:rsid w:val="5DAD6CAF"/>
    <w:rsid w:val="5DE319B6"/>
    <w:rsid w:val="5F7DCF59"/>
    <w:rsid w:val="5FB6FD0B"/>
    <w:rsid w:val="5FBBCA18"/>
    <w:rsid w:val="5FDFC6BB"/>
    <w:rsid w:val="5FFE6F22"/>
    <w:rsid w:val="5FFF5463"/>
    <w:rsid w:val="67BF029A"/>
    <w:rsid w:val="68BF3041"/>
    <w:rsid w:val="69FDB39A"/>
    <w:rsid w:val="6BEA5CD0"/>
    <w:rsid w:val="6BEBB0E3"/>
    <w:rsid w:val="6D6FB8CC"/>
    <w:rsid w:val="6DF74C5C"/>
    <w:rsid w:val="6E775DFC"/>
    <w:rsid w:val="6EFF1FCA"/>
    <w:rsid w:val="6F364C31"/>
    <w:rsid w:val="6FFF619B"/>
    <w:rsid w:val="75FF4B72"/>
    <w:rsid w:val="766D36D2"/>
    <w:rsid w:val="776F9EEF"/>
    <w:rsid w:val="77F71F55"/>
    <w:rsid w:val="77FE121C"/>
    <w:rsid w:val="7BAEA061"/>
    <w:rsid w:val="7BF7A186"/>
    <w:rsid w:val="7DBF0212"/>
    <w:rsid w:val="7F9E5185"/>
    <w:rsid w:val="7FBD6441"/>
    <w:rsid w:val="7FE7D3C8"/>
    <w:rsid w:val="7FF7318E"/>
    <w:rsid w:val="7FFF8554"/>
    <w:rsid w:val="7FFFCF2B"/>
    <w:rsid w:val="92FAF28F"/>
    <w:rsid w:val="AAFFDC89"/>
    <w:rsid w:val="ACFF3AA7"/>
    <w:rsid w:val="AEFE2A81"/>
    <w:rsid w:val="AF37E1DD"/>
    <w:rsid w:val="AFFB3957"/>
    <w:rsid w:val="B175BADB"/>
    <w:rsid w:val="B3FF29C6"/>
    <w:rsid w:val="B4FF8A02"/>
    <w:rsid w:val="B73BF999"/>
    <w:rsid w:val="B7F56B12"/>
    <w:rsid w:val="B7FFC187"/>
    <w:rsid w:val="BB7B4A91"/>
    <w:rsid w:val="BBFB7FC6"/>
    <w:rsid w:val="BBFFA552"/>
    <w:rsid w:val="BD9B9BB1"/>
    <w:rsid w:val="BDF9B48D"/>
    <w:rsid w:val="BDFDC4A7"/>
    <w:rsid w:val="BDFFA3EB"/>
    <w:rsid w:val="BF7ED3A7"/>
    <w:rsid w:val="BFDEB4FA"/>
    <w:rsid w:val="C7FB9048"/>
    <w:rsid w:val="CEA6CA88"/>
    <w:rsid w:val="CFEDAE28"/>
    <w:rsid w:val="D27574BE"/>
    <w:rsid w:val="D7DB245E"/>
    <w:rsid w:val="DAFE1D07"/>
    <w:rsid w:val="DCFFE139"/>
    <w:rsid w:val="DDEEB5FB"/>
    <w:rsid w:val="DF3FB424"/>
    <w:rsid w:val="DF591126"/>
    <w:rsid w:val="DFDD78A9"/>
    <w:rsid w:val="EB774F38"/>
    <w:rsid w:val="EBF9089E"/>
    <w:rsid w:val="EBFF4633"/>
    <w:rsid w:val="ED7F591D"/>
    <w:rsid w:val="EDF92240"/>
    <w:rsid w:val="F0AD54E5"/>
    <w:rsid w:val="F49F5B66"/>
    <w:rsid w:val="F7BD5770"/>
    <w:rsid w:val="F7FEA782"/>
    <w:rsid w:val="FAB510AF"/>
    <w:rsid w:val="FC5288CB"/>
    <w:rsid w:val="FD9F0D10"/>
    <w:rsid w:val="FDB22C36"/>
    <w:rsid w:val="FE5FDDD0"/>
    <w:rsid w:val="FF659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jc w:val="center"/>
      <w:outlineLvl w:val="1"/>
    </w:pPr>
    <w:rPr>
      <w:rFonts w:ascii="宋体" w:hAnsi="宋体" w:eastAsia="宋体"/>
      <w:b/>
      <w:bCs/>
      <w:sz w:val="30"/>
      <w:szCs w:val="36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标题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Char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  <w:style w:type="paragraph" w:styleId="12">
    <w:name w:val="List Paragraph"/>
    <w:basedOn w:val="1"/>
    <w:unhideWhenUsed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44</Words>
  <Characters>254</Characters>
  <Lines>2</Lines>
  <Paragraphs>1</Paragraphs>
  <TotalTime>5</TotalTime>
  <ScaleCrop>false</ScaleCrop>
  <LinksUpToDate>false</LinksUpToDate>
  <CharactersWithSpaces>297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2022-01-03T17:58:00Z</dcterms:created>
  <dc:creator>张嘉嘉律师</dc:creator>
  <cp:lastModifiedBy>可可</cp:lastModifiedBy>
  <cp:lastPrinted>2022-01-13T02:28:00Z</cp:lastPrinted>
  <dcterms:modified xsi:type="dcterms:W3CDTF">2022-01-24T08:32:23Z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1DD1441837AA42F095FC3FEE760A9931</vt:lpwstr>
  </property>
</Properties>
</file>