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检查合格标准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00</w:t>
      </w:r>
      <w:r>
        <w:rPr>
          <w:rFonts w:hint="default" w:ascii="方正黑体简体" w:hAnsi="方正黑体简体" w:eastAsia="方正黑体简体" w:cs="方正黑体简体"/>
          <w:sz w:val="32"/>
          <w:szCs w:val="32"/>
          <w:lang w:eastAsia="zh-Hans"/>
        </w:rPr>
        <w:t>4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:</w:t>
      </w:r>
    </w:p>
    <w:p>
      <w:pPr>
        <w:ind w:left="0" w:leftChars="0" w:firstLine="0" w:firstLineChars="0"/>
        <w:rPr>
          <w:rFonts w:hint="eastAsia"/>
          <w:sz w:val="32"/>
          <w:szCs w:val="32"/>
          <w:lang w:val="en-US" w:eastAsia="zh-Hans"/>
        </w:rPr>
      </w:pPr>
    </w:p>
    <w:p>
      <w:pPr>
        <w:numPr>
          <w:ilvl w:val="0"/>
          <w:numId w:val="0"/>
        </w:numPr>
        <w:rPr>
          <w:rFonts w:hint="default"/>
          <w:sz w:val="32"/>
          <w:szCs w:val="32"/>
        </w:rPr>
      </w:pPr>
      <w:r>
        <w:rPr>
          <w:rFonts w:hint="default"/>
          <w:sz w:val="32"/>
          <w:szCs w:val="32"/>
          <w:lang w:eastAsia="zh-Hans"/>
        </w:rPr>
        <w:t xml:space="preserve">    商业保理公司</w:t>
      </w:r>
      <w:r>
        <w:rPr>
          <w:rFonts w:hint="default"/>
          <w:sz w:val="32"/>
          <w:szCs w:val="32"/>
        </w:rPr>
        <w:t>在发生重大待决诉讼或者仲裁、接受刑事调查、重大负面舆情以及群体性事件等风险事件时，</w:t>
      </w:r>
      <w:r>
        <w:rPr>
          <w:rFonts w:hint="eastAsia"/>
          <w:sz w:val="32"/>
          <w:szCs w:val="32"/>
          <w:lang w:val="en-US" w:eastAsia="zh-Hans"/>
        </w:rPr>
        <w:t>已</w:t>
      </w:r>
      <w:r>
        <w:rPr>
          <w:rFonts w:hint="default"/>
          <w:sz w:val="32"/>
          <w:szCs w:val="32"/>
        </w:rPr>
        <w:t>立即启动风险应急预案，及时采取应对处置措施，并在事件发生后二十四小时内向</w:t>
      </w:r>
      <w:r>
        <w:rPr>
          <w:rFonts w:hint="eastAsia"/>
          <w:sz w:val="32"/>
          <w:szCs w:val="32"/>
          <w:lang w:val="en-US" w:eastAsia="zh-Hans"/>
        </w:rPr>
        <w:t>市</w:t>
      </w:r>
      <w:r>
        <w:rPr>
          <w:rFonts w:hint="default"/>
          <w:sz w:val="32"/>
          <w:szCs w:val="32"/>
          <w:lang w:eastAsia="zh-Hans"/>
        </w:rPr>
        <w:t>、</w:t>
      </w:r>
      <w:r>
        <w:rPr>
          <w:rFonts w:hint="eastAsia"/>
          <w:sz w:val="32"/>
          <w:szCs w:val="32"/>
          <w:lang w:val="en-US" w:eastAsia="zh-Hans"/>
        </w:rPr>
        <w:t>区地方金融监管部门</w:t>
      </w:r>
      <w:r>
        <w:rPr>
          <w:rFonts w:hint="default"/>
          <w:sz w:val="32"/>
          <w:szCs w:val="32"/>
        </w:rPr>
        <w:t>报告（</w:t>
      </w:r>
      <w:r>
        <w:rPr>
          <w:rFonts w:hint="eastAsia"/>
          <w:sz w:val="32"/>
          <w:szCs w:val="32"/>
          <w:lang w:val="en-US" w:eastAsia="zh-Hans"/>
        </w:rPr>
        <w:t>通过裁判文书网等网站查询</w:t>
      </w:r>
      <w:r>
        <w:rPr>
          <w:rFonts w:hint="default"/>
          <w:sz w:val="32"/>
          <w:szCs w:val="32"/>
          <w:lang w:eastAsia="zh-Hans"/>
        </w:rPr>
        <w:t>、</w:t>
      </w:r>
      <w:r>
        <w:rPr>
          <w:rFonts w:hint="eastAsia"/>
          <w:sz w:val="32"/>
          <w:szCs w:val="32"/>
          <w:lang w:val="en-US" w:eastAsia="zh-Hans"/>
        </w:rPr>
        <w:t>查看企业提交的相关材料</w:t>
      </w:r>
      <w:r>
        <w:rPr>
          <w:rFonts w:hint="default"/>
          <w:sz w:val="32"/>
          <w:szCs w:val="32"/>
        </w:rPr>
        <w:t>）</w:t>
      </w:r>
    </w:p>
    <w:p>
      <w:pPr>
        <w:numPr>
          <w:ilvl w:val="0"/>
          <w:numId w:val="0"/>
        </w:numPr>
        <w:ind w:firstLine="560"/>
        <w:rPr>
          <w:rFonts w:hint="eastAsia"/>
          <w:sz w:val="32"/>
          <w:szCs w:val="32"/>
          <w:lang w:val="en-US" w:eastAsia="zh-Hans"/>
        </w:rPr>
      </w:pPr>
    </w:p>
    <w:p>
      <w:pPr>
        <w:rPr>
          <w:rFonts w:hint="eastAsia"/>
          <w:sz w:val="32"/>
          <w:szCs w:val="32"/>
          <w:lang w:val="en-US" w:eastAsia="zh-Hans"/>
        </w:rPr>
      </w:pPr>
      <w:r>
        <w:rPr>
          <w:rFonts w:hint="eastAsia"/>
          <w:sz w:val="32"/>
          <w:szCs w:val="32"/>
          <w:lang w:val="en-US" w:eastAsia="zh-Hans"/>
        </w:rPr>
        <w:t>检查发现</w:t>
      </w:r>
      <w:r>
        <w:rPr>
          <w:rFonts w:hint="default"/>
          <w:sz w:val="32"/>
          <w:szCs w:val="32"/>
          <w:lang w:eastAsia="zh-Hans"/>
        </w:rPr>
        <w:t>商业保理公司</w:t>
      </w:r>
      <w:r>
        <w:rPr>
          <w:rFonts w:hint="eastAsia"/>
          <w:sz w:val="32"/>
          <w:szCs w:val="32"/>
          <w:lang w:val="en-US" w:eastAsia="zh-Hans"/>
        </w:rPr>
        <w:t>未及时报告重大风险事件的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该项检查结果为“否”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应当责令其尽快补充提供相关材料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  <w:lang w:val="en-US" w:eastAsia="zh-Hans"/>
        </w:rPr>
        <w:t>个月内完成整改并提交整改报告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并按照相关法律法规规定予以处理</w:t>
      </w:r>
      <w:r>
        <w:rPr>
          <w:rFonts w:hint="default"/>
          <w:sz w:val="32"/>
          <w:szCs w:val="32"/>
          <w:lang w:eastAsia="zh-Hans"/>
        </w:rPr>
        <w:t>。</w:t>
      </w:r>
      <w:bookmarkStart w:id="0" w:name="_GoBack"/>
      <w:bookmarkEnd w:id="0"/>
    </w:p>
    <w:p>
      <w:pPr>
        <w:numPr>
          <w:ilvl w:val="0"/>
          <w:numId w:val="0"/>
        </w:numPr>
        <w:ind w:firstLine="560"/>
        <w:rPr>
          <w:rFonts w:hint="eastAsia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337EDFBE"/>
    <w:rsid w:val="37CD59D8"/>
    <w:rsid w:val="37FF329A"/>
    <w:rsid w:val="38B70EAF"/>
    <w:rsid w:val="3F8FEE71"/>
    <w:rsid w:val="3FF9CA76"/>
    <w:rsid w:val="4E8C19F9"/>
    <w:rsid w:val="53FF8AB8"/>
    <w:rsid w:val="5CFD5355"/>
    <w:rsid w:val="5DAD6CAF"/>
    <w:rsid w:val="5EF52778"/>
    <w:rsid w:val="5F7DCF59"/>
    <w:rsid w:val="5FB6FD0B"/>
    <w:rsid w:val="5FBBCA18"/>
    <w:rsid w:val="65FA75E5"/>
    <w:rsid w:val="68FCE45C"/>
    <w:rsid w:val="6FFF619B"/>
    <w:rsid w:val="73FFA9A0"/>
    <w:rsid w:val="776F9EEF"/>
    <w:rsid w:val="7ADA6AFE"/>
    <w:rsid w:val="7BAEA061"/>
    <w:rsid w:val="7BE17ADC"/>
    <w:rsid w:val="7D7B2298"/>
    <w:rsid w:val="7ED75BE1"/>
    <w:rsid w:val="7FBD6441"/>
    <w:rsid w:val="7FF2A6E6"/>
    <w:rsid w:val="7FFF8554"/>
    <w:rsid w:val="9BEEDDEF"/>
    <w:rsid w:val="B4FF8A02"/>
    <w:rsid w:val="B67E9D01"/>
    <w:rsid w:val="BBFFA552"/>
    <w:rsid w:val="BD5FB917"/>
    <w:rsid w:val="BF7E98B9"/>
    <w:rsid w:val="BF7ED3A7"/>
    <w:rsid w:val="BFFD7DE2"/>
    <w:rsid w:val="CF7AA575"/>
    <w:rsid w:val="CFEDAE28"/>
    <w:rsid w:val="DF3FB424"/>
    <w:rsid w:val="DF591126"/>
    <w:rsid w:val="DFB9E093"/>
    <w:rsid w:val="EB774F38"/>
    <w:rsid w:val="EDF92240"/>
    <w:rsid w:val="EFD1BFFA"/>
    <w:rsid w:val="F0AD54E5"/>
    <w:rsid w:val="F7FEA782"/>
    <w:rsid w:val="F9EB30C3"/>
    <w:rsid w:val="FBAA768C"/>
    <w:rsid w:val="FDAD3159"/>
    <w:rsid w:val="FDFE6226"/>
    <w:rsid w:val="FE9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可可</cp:lastModifiedBy>
  <dcterms:modified xsi:type="dcterms:W3CDTF">2022-01-24T08:30:31Z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4A578AB34020445B9A40A1332FF1998B</vt:lpwstr>
  </property>
</Properties>
</file>