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检查合格标准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00</w:t>
      </w:r>
      <w:r>
        <w:rPr>
          <w:rFonts w:hint="default" w:ascii="方正黑体简体" w:hAnsi="方正黑体简体" w:eastAsia="方正黑体简体" w:cs="方正黑体简体"/>
          <w:sz w:val="32"/>
          <w:szCs w:val="32"/>
          <w:lang w:eastAsia="zh-Hans"/>
        </w:rPr>
        <w:t>6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: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default" w:ascii="仿宋_GB2312" w:hAnsi="仿宋_GB2312" w:cs="仿宋_GB2312"/>
          <w:sz w:val="32"/>
          <w:szCs w:val="32"/>
          <w:lang w:eastAsia="zh-Hans"/>
        </w:rPr>
        <w:t>商业保理公司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未采用虚假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欺诈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隐瞒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、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引人误解等方式营销宣传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（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现场查验网站及宣传材料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 xml:space="preserve">  </w:t>
      </w:r>
    </w:p>
    <w:p>
      <w:pPr>
        <w:rPr>
          <w:rFonts w:hint="eastAsia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检查发现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商业保理公司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存在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上述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营销宣传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方式的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，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该项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检查结果为“存在”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应当责令其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  <w:lang w:val="en-US" w:eastAsia="zh-Hans"/>
        </w:rPr>
        <w:t>个月内完成整改并提交整改报告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并按照相关法律法规规定予以处理</w:t>
      </w:r>
      <w:r>
        <w:rPr>
          <w:rFonts w:hint="default"/>
          <w:sz w:val="32"/>
          <w:szCs w:val="32"/>
          <w:lang w:eastAsia="zh-Hans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>
      <w:pPr>
        <w:ind w:left="0" w:leftChars="0" w:firstLine="0" w:firstLineChars="0"/>
        <w:rPr>
          <w:rFonts w:hint="eastAsia"/>
          <w:lang w:val="en-US" w:eastAsia="zh-Hans"/>
        </w:rPr>
      </w:pPr>
    </w:p>
    <w:p>
      <w:pPr>
        <w:numPr>
          <w:ilvl w:val="0"/>
          <w:numId w:val="0"/>
        </w:numPr>
        <w:ind w:leftChars="0"/>
        <w:rPr>
          <w:rFonts w:hint="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12C2773E"/>
    <w:rsid w:val="17B88A6D"/>
    <w:rsid w:val="2AEE9125"/>
    <w:rsid w:val="3377CE78"/>
    <w:rsid w:val="337EDFBE"/>
    <w:rsid w:val="37EE9943"/>
    <w:rsid w:val="3C4F09CC"/>
    <w:rsid w:val="3FBE1D47"/>
    <w:rsid w:val="3FF9CA76"/>
    <w:rsid w:val="4E8C19F9"/>
    <w:rsid w:val="5CFD5355"/>
    <w:rsid w:val="5DAD6CAF"/>
    <w:rsid w:val="5E9F7EE6"/>
    <w:rsid w:val="5F7DCF59"/>
    <w:rsid w:val="5FB6FD0B"/>
    <w:rsid w:val="5FBBCA18"/>
    <w:rsid w:val="5FDF7203"/>
    <w:rsid w:val="6CFF3CFE"/>
    <w:rsid w:val="6E4DB299"/>
    <w:rsid w:val="6FEE3A86"/>
    <w:rsid w:val="6FFF619B"/>
    <w:rsid w:val="776F9EEF"/>
    <w:rsid w:val="77F3CDD4"/>
    <w:rsid w:val="77FFD211"/>
    <w:rsid w:val="7BAEA061"/>
    <w:rsid w:val="7BBE129A"/>
    <w:rsid w:val="7FBAE125"/>
    <w:rsid w:val="7FBD6441"/>
    <w:rsid w:val="7FFF8554"/>
    <w:rsid w:val="8FDCF327"/>
    <w:rsid w:val="9F640A56"/>
    <w:rsid w:val="ACFF3AA7"/>
    <w:rsid w:val="AFB6DFFE"/>
    <w:rsid w:val="B4FF8A02"/>
    <w:rsid w:val="B7BD5141"/>
    <w:rsid w:val="B7DFE484"/>
    <w:rsid w:val="BBFFA552"/>
    <w:rsid w:val="BF7ED3A7"/>
    <w:rsid w:val="CFEDAE28"/>
    <w:rsid w:val="D5BB1E99"/>
    <w:rsid w:val="DCF83280"/>
    <w:rsid w:val="DDD79A75"/>
    <w:rsid w:val="DF3FB424"/>
    <w:rsid w:val="DF591126"/>
    <w:rsid w:val="EB774F38"/>
    <w:rsid w:val="EBFD9742"/>
    <w:rsid w:val="EDF92240"/>
    <w:rsid w:val="EF7F518C"/>
    <w:rsid w:val="EFFE7A01"/>
    <w:rsid w:val="F0AD54E5"/>
    <w:rsid w:val="F1F0D0B8"/>
    <w:rsid w:val="F3CEFBF9"/>
    <w:rsid w:val="F7FEA782"/>
    <w:rsid w:val="FBFBB3BB"/>
    <w:rsid w:val="FDA85726"/>
    <w:rsid w:val="FFFE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可可</cp:lastModifiedBy>
  <dcterms:modified xsi:type="dcterms:W3CDTF">2022-01-24T08:30:56Z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57E75B664F1045DC8B4B7BD894CB5097</vt:lpwstr>
  </property>
</Properties>
</file>